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1b04861d05a53118bdfd79280b9de92056fa5"/>
    <w:p>
      <w:pPr>
        <w:pStyle w:val="Heading3"/>
      </w:pPr>
      <w:r>
        <w:t xml:space="preserve">IV Всероссийский конкурс этнокультурных выставочных проектов «Виртуальный тур по многонациональной России»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Главная цель конкурса - продвижение этнокультурных выставочных проектов, ориентированных на популяризацию народной культуры и народного творчества, сохранение культурных традиций, памятников истории и культуры, этнокультурного многообразия, культурной самобытности народов и этнических общностей Российской Федерации через внедрение новых творческих подходов и виртуальных форматов работы. Приём работ продлится с 15 мая по 20 сентября 2025 г. Форма подачи заявки: https://forms.yandex.ru/u/67dd3664eb61462fa1666875/ Подробная информация на странице конкурса: https://ресурсныйцентр-анр.рф/russian-federation/project/virtualnyy-tur-2025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http://gau-nasledie.mos.ru/presscenter/news/detail/13015615.html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3015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3015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2025-06-30T23:46:06Z</dcterms:created>
  <dcterms:modified xsi:type="dcterms:W3CDTF">2025-06-30T23:46:06Z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